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C31C6" w14:textId="22EE4442" w:rsidR="00DD52D7" w:rsidRPr="00DB3907" w:rsidRDefault="00DD52D7" w:rsidP="00BE4DD1">
      <w:pPr>
        <w:pStyle w:val="a3"/>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79</w:t>
      </w:r>
      <w:r w:rsidRPr="00DB3907">
        <w:rPr>
          <w:rFonts w:cs="Courier New"/>
          <w:sz w:val="24"/>
          <w:szCs w:val="24"/>
          <w:lang w:val="de-DE"/>
        </w:rPr>
        <w:tab/>
      </w:r>
      <w:r w:rsidR="00A416F2" w:rsidRPr="00A416F2">
        <w:rPr>
          <w:rFonts w:cs="Courier New"/>
          <w:sz w:val="24"/>
          <w:szCs w:val="24"/>
          <w:lang w:val="de-DE"/>
        </w:rPr>
        <w:t>R4-164528</w:t>
      </w:r>
    </w:p>
    <w:p w14:paraId="768398A6" w14:textId="095EB0FD" w:rsidR="00DD52D7" w:rsidRPr="00DB3907" w:rsidRDefault="00DD52D7" w:rsidP="00A416F2">
      <w:pPr>
        <w:pStyle w:val="a3"/>
        <w:tabs>
          <w:tab w:val="left" w:pos="6521"/>
        </w:tabs>
        <w:jc w:val="both"/>
        <w:rPr>
          <w:rFonts w:cs="Courier New"/>
          <w:sz w:val="24"/>
          <w:szCs w:val="24"/>
        </w:rPr>
      </w:pPr>
      <w:r>
        <w:rPr>
          <w:rFonts w:cs="Courier New"/>
          <w:sz w:val="24"/>
          <w:szCs w:val="24"/>
        </w:rPr>
        <w:t>May 23</w:t>
      </w:r>
      <w:r w:rsidRPr="004676A9">
        <w:rPr>
          <w:rFonts w:cs="Courier New"/>
          <w:sz w:val="24"/>
          <w:szCs w:val="24"/>
          <w:vertAlign w:val="superscript"/>
        </w:rPr>
        <w:t>rd</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27</w:t>
      </w:r>
      <w:r>
        <w:rPr>
          <w:rFonts w:cs="Courier New"/>
          <w:sz w:val="24"/>
          <w:szCs w:val="24"/>
          <w:vertAlign w:val="superscript"/>
        </w:rPr>
        <w:t>th</w:t>
      </w:r>
      <w:r>
        <w:rPr>
          <w:rFonts w:cs="Courier New"/>
          <w:sz w:val="24"/>
          <w:szCs w:val="24"/>
        </w:rPr>
        <w:t>, 2016</w:t>
      </w:r>
      <w:r w:rsidR="00A416F2">
        <w:rPr>
          <w:rFonts w:cs="Courier New"/>
          <w:sz w:val="24"/>
          <w:szCs w:val="24"/>
        </w:rPr>
        <w:t xml:space="preserve">, </w:t>
      </w:r>
      <w:r w:rsidRPr="004676A9">
        <w:rPr>
          <w:rFonts w:cs="Courier New"/>
          <w:sz w:val="24"/>
          <w:szCs w:val="24"/>
        </w:rPr>
        <w:t>Nanjing</w:t>
      </w:r>
      <w:r>
        <w:rPr>
          <w:rFonts w:cs="Courier New"/>
          <w:sz w:val="24"/>
          <w:szCs w:val="24"/>
        </w:rPr>
        <w:t xml:space="preserve">, China </w:t>
      </w:r>
    </w:p>
    <w:p w14:paraId="1440FE4C" w14:textId="77777777" w:rsidR="00E43D4D" w:rsidRPr="00F56E56" w:rsidRDefault="00E43D4D" w:rsidP="00BE4DD1">
      <w:pPr>
        <w:pStyle w:val="a3"/>
        <w:jc w:val="both"/>
        <w:rPr>
          <w:rFonts w:cs="Arial"/>
          <w:b w:val="0"/>
        </w:rPr>
      </w:pPr>
    </w:p>
    <w:p w14:paraId="1C685452" w14:textId="77777777" w:rsidR="00E43D4D" w:rsidRPr="00E53F32" w:rsidRDefault="00E43D4D" w:rsidP="00BE4DD1">
      <w:pPr>
        <w:pStyle w:val="a5"/>
        <w:jc w:val="both"/>
      </w:pPr>
    </w:p>
    <w:p w14:paraId="697795CB" w14:textId="3896D7B2" w:rsidR="00E43D4D" w:rsidRDefault="00E43D4D" w:rsidP="00BE4DD1">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D52D7">
        <w:rPr>
          <w:rFonts w:ascii="Arial" w:hAnsi="Arial"/>
          <w:sz w:val="24"/>
          <w:lang w:val="en-US"/>
        </w:rPr>
        <w:t>9</w:t>
      </w:r>
      <w:r>
        <w:rPr>
          <w:rFonts w:ascii="Arial" w:hAnsi="Arial"/>
          <w:sz w:val="24"/>
          <w:lang w:val="en-US"/>
        </w:rPr>
        <w:t>.</w:t>
      </w:r>
      <w:r w:rsidR="00A416F2">
        <w:rPr>
          <w:rFonts w:ascii="Arial" w:hAnsi="Arial"/>
          <w:sz w:val="24"/>
          <w:lang w:val="en-US"/>
        </w:rPr>
        <w:t>8</w:t>
      </w:r>
    </w:p>
    <w:p w14:paraId="2BBA7BF1" w14:textId="625AA75C"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A416F2">
        <w:rPr>
          <w:rFonts w:ascii="Arial" w:hAnsi="Arial"/>
          <w:sz w:val="24"/>
          <w:lang w:val="en-US"/>
        </w:rPr>
        <w:t>NTT DOCOMO, INC.</w:t>
      </w:r>
    </w:p>
    <w:p w14:paraId="2C31954F" w14:textId="1348072A"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16F2" w:rsidRPr="00A416F2">
        <w:rPr>
          <w:rFonts w:ascii="Arial" w:hAnsi="Arial"/>
          <w:sz w:val="24"/>
          <w:lang w:val="en-US"/>
        </w:rPr>
        <w:t>WF on WP 5D co-existence simulation assumptions</w:t>
      </w:r>
      <w:r w:rsidRPr="00996774">
        <w:rPr>
          <w:rFonts w:ascii="Arial" w:hAnsi="Arial"/>
          <w:sz w:val="24"/>
          <w:lang w:val="en-US"/>
        </w:rPr>
        <w:t xml:space="preserve"> </w:t>
      </w:r>
    </w:p>
    <w:p w14:paraId="0539B97D" w14:textId="13717157"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7F52F9">
        <w:rPr>
          <w:rFonts w:ascii="Arial" w:hAnsi="Arial"/>
          <w:sz w:val="24"/>
          <w:lang w:val="en-US"/>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248613A6" w14:textId="35EAD65F" w:rsidR="00582A1A" w:rsidRDefault="00F54BE6" w:rsidP="00BE4DD1">
      <w:pPr>
        <w:jc w:val="both"/>
      </w:pPr>
      <w:r>
        <w:t xml:space="preserve">This contribution </w:t>
      </w:r>
      <w:r w:rsidR="00A416F2">
        <w:t>summarises agreed simulation assumptions in two evening AHs held in RAN4#79 meeting [1, 2] to proceed with the simulation calibration for the future meetings. Specifically, it is significantly essential to compare each company’s simulation results with common simulation parameters as much as possible to access and identify factors to produce the large difference.</w:t>
      </w:r>
      <w:r>
        <w:t xml:space="preserve">  </w:t>
      </w:r>
    </w:p>
    <w:p w14:paraId="0868FBE6" w14:textId="77777777" w:rsidR="00A416F2" w:rsidRDefault="00A416F2" w:rsidP="00BE4DD1">
      <w:pPr>
        <w:pStyle w:val="10"/>
        <w:tabs>
          <w:tab w:val="clear" w:pos="432"/>
          <w:tab w:val="num" w:pos="522"/>
        </w:tabs>
        <w:ind w:left="522" w:hanging="522"/>
        <w:jc w:val="both"/>
        <w:rPr>
          <w:lang w:val="en-US"/>
        </w:rPr>
      </w:pPr>
      <w:r>
        <w:rPr>
          <w:lang w:val="en-US" w:eastAsia="ja-JP"/>
        </w:rPr>
        <w:t>Way forward</w:t>
      </w:r>
    </w:p>
    <w:p w14:paraId="5C62D5AC" w14:textId="56AC0A63" w:rsidR="00A416F2" w:rsidRDefault="00A416F2" w:rsidP="00BE4DD1">
      <w:pPr>
        <w:pStyle w:val="af1"/>
        <w:keepNext/>
        <w:rPr>
          <w:rFonts w:hint="eastAsia"/>
          <w:lang w:eastAsia="ja-JP"/>
        </w:rPr>
      </w:pPr>
      <w:bookmarkStart w:id="0" w:name="_Ref450568691"/>
      <w:r>
        <w:rPr>
          <w:rFonts w:hint="eastAsia"/>
          <w:lang w:eastAsia="ja-JP"/>
        </w:rPr>
        <w:t>Adopt the main simulation assumptions summarised in below Table 1.</w:t>
      </w:r>
    </w:p>
    <w:p w14:paraId="41B60689" w14:textId="6D11C983" w:rsidR="00BD4B33" w:rsidRDefault="00BD4B33" w:rsidP="007F52F9">
      <w:pPr>
        <w:pStyle w:val="af1"/>
        <w:keepNext/>
        <w:jc w:val="center"/>
      </w:pPr>
      <w:r>
        <w:t xml:space="preserve">Table </w:t>
      </w:r>
      <w:r>
        <w:fldChar w:fldCharType="begin"/>
      </w:r>
      <w:r>
        <w:instrText xml:space="preserve"> SEQ Table \* ARABIC </w:instrText>
      </w:r>
      <w:r>
        <w:fldChar w:fldCharType="separate"/>
      </w:r>
      <w:r w:rsidR="00743217">
        <w:rPr>
          <w:noProof/>
        </w:rPr>
        <w:t>1</w:t>
      </w:r>
      <w:r>
        <w:fldChar w:fldCharType="end"/>
      </w:r>
      <w:bookmarkEnd w:id="0"/>
      <w:r>
        <w:t>. Main simulation assumption.</w:t>
      </w:r>
    </w:p>
    <w:tbl>
      <w:tblPr>
        <w:tblW w:w="9630" w:type="dxa"/>
        <w:jc w:val="center"/>
        <w:tblLook w:val="04A0" w:firstRow="1" w:lastRow="0" w:firstColumn="1" w:lastColumn="0" w:noHBand="0" w:noVBand="1"/>
      </w:tblPr>
      <w:tblGrid>
        <w:gridCol w:w="2610"/>
        <w:gridCol w:w="3150"/>
        <w:gridCol w:w="3870"/>
      </w:tblGrid>
      <w:tr w:rsidR="00C865CA" w:rsidRPr="00C865CA" w14:paraId="4E96B45A" w14:textId="77777777" w:rsidTr="00BE4DD1">
        <w:trPr>
          <w:trHeight w:val="276"/>
          <w:jc w:val="center"/>
        </w:trPr>
        <w:tc>
          <w:tcPr>
            <w:tcW w:w="2610" w:type="dxa"/>
            <w:tcBorders>
              <w:top w:val="nil"/>
              <w:left w:val="nil"/>
              <w:bottom w:val="nil"/>
              <w:right w:val="nil"/>
            </w:tcBorders>
            <w:shd w:val="clear" w:color="auto" w:fill="auto"/>
            <w:noWrap/>
            <w:vAlign w:val="bottom"/>
            <w:hideMark/>
          </w:tcPr>
          <w:p w14:paraId="281F8535" w14:textId="77777777" w:rsidR="00C865CA" w:rsidRPr="00C865CA" w:rsidRDefault="00C865CA" w:rsidP="00BE4DD1">
            <w:pPr>
              <w:spacing w:after="0"/>
              <w:jc w:val="both"/>
              <w:rPr>
                <w:sz w:val="24"/>
                <w:szCs w:val="24"/>
                <w:lang w:val="en-US"/>
              </w:rPr>
            </w:pPr>
          </w:p>
        </w:tc>
        <w:tc>
          <w:tcPr>
            <w:tcW w:w="3150" w:type="dxa"/>
            <w:tcBorders>
              <w:top w:val="single" w:sz="8" w:space="0" w:color="auto"/>
              <w:left w:val="single" w:sz="8" w:space="0" w:color="auto"/>
              <w:bottom w:val="single" w:sz="4" w:space="0" w:color="9BC2E6"/>
              <w:right w:val="nil"/>
            </w:tcBorders>
            <w:shd w:val="clear" w:color="5B9BD5" w:fill="5B9BD5"/>
            <w:vAlign w:val="bottom"/>
            <w:hideMark/>
          </w:tcPr>
          <w:p w14:paraId="5C460C95" w14:textId="7967E890" w:rsidR="00C865CA" w:rsidRPr="00C865CA" w:rsidRDefault="00A416F2" w:rsidP="007F52F9">
            <w:pPr>
              <w:spacing w:after="0"/>
              <w:jc w:val="center"/>
              <w:rPr>
                <w:b/>
                <w:bCs/>
                <w:color w:val="FFFFFF"/>
                <w:lang w:val="en-US"/>
              </w:rPr>
            </w:pPr>
            <w:r>
              <w:rPr>
                <w:rFonts w:hint="eastAsia"/>
                <w:b/>
                <w:bCs/>
                <w:color w:val="FFFFFF"/>
                <w:lang w:val="en-US" w:eastAsia="ja-JP"/>
              </w:rPr>
              <w:t xml:space="preserve">Way </w:t>
            </w:r>
            <w:r>
              <w:rPr>
                <w:b/>
                <w:bCs/>
                <w:color w:val="FFFFFF"/>
                <w:lang w:val="en-US" w:eastAsia="ja-JP"/>
              </w:rPr>
              <w:t>forward</w:t>
            </w:r>
          </w:p>
        </w:tc>
        <w:tc>
          <w:tcPr>
            <w:tcW w:w="3870" w:type="dxa"/>
            <w:tcBorders>
              <w:top w:val="single" w:sz="8" w:space="0" w:color="auto"/>
              <w:left w:val="single" w:sz="8" w:space="0" w:color="auto"/>
              <w:bottom w:val="single" w:sz="4" w:space="0" w:color="9BC2E6"/>
              <w:right w:val="single" w:sz="8" w:space="0" w:color="auto"/>
            </w:tcBorders>
            <w:shd w:val="clear" w:color="5B9BD5" w:fill="5B9BD5"/>
            <w:vAlign w:val="bottom"/>
            <w:hideMark/>
          </w:tcPr>
          <w:p w14:paraId="065D912A" w14:textId="409E4E08" w:rsidR="00C865CA" w:rsidRPr="00C865CA" w:rsidRDefault="00A416F2" w:rsidP="007F52F9">
            <w:pPr>
              <w:spacing w:after="0"/>
              <w:jc w:val="center"/>
              <w:rPr>
                <w:rFonts w:hint="eastAsia"/>
                <w:b/>
                <w:bCs/>
                <w:color w:val="FFFFFF"/>
                <w:lang w:val="en-US" w:eastAsia="ja-JP"/>
              </w:rPr>
            </w:pPr>
            <w:r>
              <w:rPr>
                <w:b/>
                <w:bCs/>
                <w:color w:val="FFFFFF"/>
                <w:lang w:val="en-US" w:eastAsia="ja-JP"/>
              </w:rPr>
              <w:t>Remarks</w:t>
            </w:r>
          </w:p>
        </w:tc>
      </w:tr>
      <w:tr w:rsidR="00C865CA" w:rsidRPr="00C865CA" w14:paraId="582FE69E" w14:textId="77777777" w:rsidTr="00A416F2">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0691AE1A"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Methodology</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1DD0C0E9" w14:textId="77777777" w:rsidR="00C865CA" w:rsidRPr="007F52F9" w:rsidRDefault="00C865CA" w:rsidP="00BE4DD1">
            <w:pPr>
              <w:spacing w:after="0"/>
              <w:jc w:val="both"/>
              <w:rPr>
                <w:color w:val="000000" w:themeColor="text1"/>
                <w:lang w:val="en-US"/>
              </w:rPr>
            </w:pPr>
            <w:r w:rsidRPr="007F52F9">
              <w:rPr>
                <w:color w:val="000000" w:themeColor="text1"/>
                <w:lang w:val="en-US"/>
              </w:rPr>
              <w:t>Static MonteCarlo simulation</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14:paraId="6C857D96" w14:textId="14246539" w:rsidR="00C865CA" w:rsidRPr="007F52F9" w:rsidRDefault="00C865CA" w:rsidP="00BE4DD1">
            <w:pPr>
              <w:spacing w:after="0"/>
              <w:jc w:val="both"/>
              <w:rPr>
                <w:color w:val="000000" w:themeColor="text1"/>
                <w:lang w:val="en-US"/>
              </w:rPr>
            </w:pPr>
          </w:p>
        </w:tc>
      </w:tr>
      <w:tr w:rsidR="00A416F2" w:rsidRPr="00C865CA" w14:paraId="66964BEB" w14:textId="77777777" w:rsidTr="00A416F2">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tcPr>
          <w:p w14:paraId="7346EC1F" w14:textId="50B7694E" w:rsidR="00A416F2" w:rsidRPr="007F52F9" w:rsidRDefault="00A416F2" w:rsidP="00BE4DD1">
            <w:pPr>
              <w:spacing w:after="0"/>
              <w:jc w:val="both"/>
              <w:rPr>
                <w:b/>
                <w:bCs/>
                <w:color w:val="000000" w:themeColor="text1"/>
                <w:lang w:val="en-US"/>
              </w:rPr>
            </w:pPr>
            <w:r w:rsidRPr="007F52F9">
              <w:rPr>
                <w:b/>
                <w:bCs/>
                <w:color w:val="000000" w:themeColor="text1"/>
                <w:lang w:val="en-US"/>
              </w:rPr>
              <w:t>3.4.</w:t>
            </w:r>
            <w:r w:rsidRPr="007F52F9">
              <w:rPr>
                <w:b/>
                <w:bCs/>
                <w:color w:val="000000" w:themeColor="text1"/>
                <w:lang w:val="en-US"/>
              </w:rPr>
              <w:tab/>
              <w:t>Usage scenario (eMBB, mMTC, URLLC)</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tcPr>
          <w:p w14:paraId="02DD4D16" w14:textId="4827FB68" w:rsidR="00A416F2" w:rsidRPr="007F52F9" w:rsidRDefault="00A416F2" w:rsidP="00BE4DD1">
            <w:pPr>
              <w:spacing w:after="0"/>
              <w:jc w:val="both"/>
              <w:rPr>
                <w:rFonts w:hint="eastAsia"/>
                <w:color w:val="000000" w:themeColor="text1"/>
                <w:lang w:val="en-US" w:eastAsia="ja-JP"/>
              </w:rPr>
            </w:pPr>
            <w:r w:rsidRPr="007F52F9">
              <w:rPr>
                <w:rFonts w:hint="eastAsia"/>
                <w:color w:val="000000" w:themeColor="text1"/>
                <w:lang w:val="en-US" w:eastAsia="ja-JP"/>
              </w:rPr>
              <w:t>eMBB</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14:paraId="7EE30726" w14:textId="6EAC7038" w:rsidR="00A416F2" w:rsidRPr="007F52F9" w:rsidRDefault="00A416F2" w:rsidP="00BE4DD1">
            <w:pPr>
              <w:spacing w:after="0"/>
              <w:jc w:val="both"/>
              <w:rPr>
                <w:color w:val="000000" w:themeColor="text1"/>
                <w:lang w:val="en-US"/>
              </w:rPr>
            </w:pPr>
            <w:r w:rsidRPr="007F52F9">
              <w:rPr>
                <w:color w:val="000000" w:themeColor="text1"/>
                <w:lang w:val="en-US"/>
              </w:rPr>
              <w:t>Start with eMBB as 1st step. We shall consider the other scenarios in SI.</w:t>
            </w:r>
          </w:p>
        </w:tc>
      </w:tr>
      <w:tr w:rsidR="00621848" w:rsidRPr="00C865CA" w14:paraId="7DA1CA97" w14:textId="77777777" w:rsidTr="00A416F2">
        <w:trPr>
          <w:trHeight w:val="276"/>
          <w:jc w:val="center"/>
        </w:trPr>
        <w:tc>
          <w:tcPr>
            <w:tcW w:w="2610" w:type="dxa"/>
            <w:tcBorders>
              <w:top w:val="single" w:sz="8" w:space="0" w:color="auto"/>
              <w:left w:val="single" w:sz="8" w:space="0" w:color="auto"/>
              <w:bottom w:val="dotted" w:sz="4" w:space="0" w:color="auto"/>
              <w:right w:val="single" w:sz="8" w:space="0" w:color="auto"/>
            </w:tcBorders>
            <w:shd w:val="clear" w:color="DDEBF7" w:fill="DDEBF7"/>
            <w:vAlign w:val="center"/>
          </w:tcPr>
          <w:p w14:paraId="58EC66EA" w14:textId="076939DF" w:rsidR="00621848" w:rsidRPr="007F52F9" w:rsidRDefault="00621848" w:rsidP="00BE4DD1">
            <w:pPr>
              <w:spacing w:after="0"/>
              <w:jc w:val="both"/>
              <w:rPr>
                <w:rFonts w:hint="eastAsia"/>
                <w:b/>
                <w:bCs/>
                <w:color w:val="000000" w:themeColor="text1"/>
                <w:lang w:val="en-US" w:eastAsia="ja-JP"/>
              </w:rPr>
            </w:pPr>
            <w:r w:rsidRPr="007F52F9">
              <w:rPr>
                <w:b/>
                <w:bCs/>
                <w:color w:val="000000" w:themeColor="text1"/>
                <w:lang w:val="en-US" w:eastAsia="ja-JP"/>
              </w:rPr>
              <w:t>D</w:t>
            </w:r>
            <w:r w:rsidRPr="007F52F9">
              <w:rPr>
                <w:rFonts w:hint="eastAsia"/>
                <w:b/>
                <w:bCs/>
                <w:color w:val="000000" w:themeColor="text1"/>
                <w:lang w:val="en-US" w:eastAsia="ja-JP"/>
              </w:rPr>
              <w:t xml:space="preserve">eployment </w:t>
            </w:r>
            <w:r w:rsidRPr="007F52F9">
              <w:rPr>
                <w:b/>
                <w:bCs/>
                <w:color w:val="000000" w:themeColor="text1"/>
                <w:lang w:val="en-US" w:eastAsia="ja-JP"/>
              </w:rPr>
              <w:t>scenario</w:t>
            </w:r>
          </w:p>
        </w:tc>
        <w:tc>
          <w:tcPr>
            <w:tcW w:w="3150" w:type="dxa"/>
            <w:tcBorders>
              <w:top w:val="single" w:sz="8" w:space="0" w:color="auto"/>
              <w:left w:val="single" w:sz="8" w:space="0" w:color="auto"/>
              <w:bottom w:val="dotted" w:sz="4" w:space="0" w:color="auto"/>
              <w:right w:val="single" w:sz="8" w:space="0" w:color="auto"/>
            </w:tcBorders>
            <w:shd w:val="clear" w:color="DDEBF7" w:fill="DDEBF7"/>
            <w:vAlign w:val="center"/>
          </w:tcPr>
          <w:p w14:paraId="00350BCF" w14:textId="26342536" w:rsidR="00621848" w:rsidRPr="007F52F9" w:rsidRDefault="00621848" w:rsidP="00621848">
            <w:pPr>
              <w:spacing w:after="0"/>
              <w:jc w:val="both"/>
              <w:rPr>
                <w:rFonts w:hint="eastAsia"/>
                <w:color w:val="000000" w:themeColor="text1"/>
                <w:lang w:val="en-US" w:eastAsia="ja-JP"/>
              </w:rPr>
            </w:pPr>
            <w:r w:rsidRPr="007F52F9">
              <w:rPr>
                <w:color w:val="000000" w:themeColor="text1"/>
                <w:lang w:val="en-US" w:eastAsia="ja-JP"/>
              </w:rPr>
              <w:t xml:space="preserve">At least, Indoor hotspot, Urban macro and Dense urban are the scenarios for WP5D co-existence. </w:t>
            </w:r>
          </w:p>
        </w:tc>
        <w:tc>
          <w:tcPr>
            <w:tcW w:w="3870" w:type="dxa"/>
            <w:tcBorders>
              <w:top w:val="single" w:sz="8" w:space="0" w:color="auto"/>
              <w:left w:val="single" w:sz="8" w:space="0" w:color="auto"/>
              <w:bottom w:val="dotted" w:sz="4" w:space="0" w:color="auto"/>
              <w:right w:val="single" w:sz="8" w:space="0" w:color="auto"/>
            </w:tcBorders>
            <w:shd w:val="clear" w:color="DDEBF7" w:fill="DDEBF7"/>
            <w:vAlign w:val="center"/>
          </w:tcPr>
          <w:p w14:paraId="0E12ADCA" w14:textId="39845F4F" w:rsidR="00621848" w:rsidRPr="007F52F9" w:rsidRDefault="00621848" w:rsidP="00BE4DD1">
            <w:pPr>
              <w:spacing w:after="0"/>
              <w:jc w:val="both"/>
              <w:rPr>
                <w:color w:val="000000" w:themeColor="text1"/>
                <w:lang w:val="en-US"/>
              </w:rPr>
            </w:pPr>
            <w:r w:rsidRPr="007F52F9">
              <w:rPr>
                <w:color w:val="000000" w:themeColor="text1"/>
                <w:lang w:val="en-US" w:eastAsia="ja-JP"/>
              </w:rPr>
              <w:t>The other scenarios are FFS.</w:t>
            </w:r>
          </w:p>
        </w:tc>
      </w:tr>
      <w:tr w:rsidR="00C865CA" w:rsidRPr="00C865CA" w14:paraId="3DB5ED39" w14:textId="77777777" w:rsidTr="00A416F2">
        <w:trPr>
          <w:trHeight w:val="528"/>
          <w:jc w:val="cente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36BA58E2"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Victim system</w:t>
            </w:r>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25F0B08B" w14:textId="43C26DB8" w:rsidR="00C865CA" w:rsidRPr="007F52F9" w:rsidRDefault="00621848" w:rsidP="00621848">
            <w:pPr>
              <w:spacing w:after="0"/>
              <w:jc w:val="both"/>
              <w:rPr>
                <w:color w:val="000000" w:themeColor="text1"/>
                <w:lang w:val="en-US"/>
              </w:rPr>
            </w:pPr>
            <w:r w:rsidRPr="007F52F9">
              <w:rPr>
                <w:color w:val="000000" w:themeColor="text1"/>
                <w:lang w:val="en-US"/>
              </w:rPr>
              <w:t>NR</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14:paraId="1DB18131" w14:textId="21E1BE3C" w:rsidR="00C865CA" w:rsidRPr="007F52F9" w:rsidRDefault="00C865CA" w:rsidP="00BE4DD1">
            <w:pPr>
              <w:spacing w:after="0"/>
              <w:jc w:val="both"/>
              <w:rPr>
                <w:color w:val="000000" w:themeColor="text1"/>
                <w:lang w:val="en-US"/>
              </w:rPr>
            </w:pPr>
          </w:p>
        </w:tc>
      </w:tr>
      <w:tr w:rsidR="00C865CA" w:rsidRPr="00C865CA" w14:paraId="3C230804" w14:textId="77777777" w:rsidTr="00A416F2">
        <w:trPr>
          <w:trHeight w:val="1584"/>
          <w:jc w:val="center"/>
        </w:trPr>
        <w:tc>
          <w:tcPr>
            <w:tcW w:w="261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075A74EF"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PathLoss Model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3444A468" w14:textId="403E2FED" w:rsidR="00C865CA" w:rsidRPr="007F52F9" w:rsidRDefault="00621848" w:rsidP="00BE4DD1">
            <w:pPr>
              <w:spacing w:after="0"/>
              <w:jc w:val="both"/>
              <w:rPr>
                <w:color w:val="000000" w:themeColor="text1"/>
                <w:lang w:val="en-US"/>
              </w:rPr>
            </w:pPr>
            <w:r w:rsidRPr="007F52F9">
              <w:rPr>
                <w:color w:val="000000" w:themeColor="text1"/>
                <w:lang w:val="en-US"/>
              </w:rPr>
              <w:t>Follow RAN1 channel modelling SI outcome</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4863EA5F" w14:textId="6C4BB805" w:rsidR="00C865CA" w:rsidRPr="007F52F9" w:rsidRDefault="00C865CA" w:rsidP="00BE4DD1">
            <w:pPr>
              <w:spacing w:after="0"/>
              <w:jc w:val="both"/>
              <w:rPr>
                <w:color w:val="000000" w:themeColor="text1"/>
                <w:lang w:val="en-US"/>
              </w:rPr>
            </w:pPr>
          </w:p>
        </w:tc>
      </w:tr>
      <w:tr w:rsidR="00C865CA" w:rsidRPr="00C865CA" w14:paraId="5B0FFFE2" w14:textId="77777777" w:rsidTr="00A416F2">
        <w:trPr>
          <w:trHeight w:val="528"/>
          <w:jc w:val="center"/>
        </w:trPr>
        <w:tc>
          <w:tcPr>
            <w:tcW w:w="261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26F76290"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Carrier frequency</w:t>
            </w:r>
          </w:p>
        </w:tc>
        <w:tc>
          <w:tcPr>
            <w:tcW w:w="3150" w:type="dxa"/>
            <w:tcBorders>
              <w:top w:val="dotted" w:sz="4" w:space="0" w:color="000000"/>
              <w:left w:val="single" w:sz="8" w:space="0" w:color="auto"/>
              <w:bottom w:val="dotted" w:sz="4" w:space="0" w:color="000000"/>
              <w:right w:val="single" w:sz="8" w:space="0" w:color="auto"/>
            </w:tcBorders>
            <w:shd w:val="clear" w:color="DDEBF7" w:fill="DDEBF7"/>
            <w:vAlign w:val="center"/>
            <w:hideMark/>
          </w:tcPr>
          <w:p w14:paraId="7B8CF15F" w14:textId="4D7A0AF8" w:rsidR="00C865CA" w:rsidRPr="007F52F9" w:rsidRDefault="00A416F2" w:rsidP="00A416F2">
            <w:pPr>
              <w:spacing w:after="0"/>
              <w:jc w:val="both"/>
              <w:rPr>
                <w:color w:val="000000" w:themeColor="text1"/>
                <w:lang w:val="en-US"/>
              </w:rPr>
            </w:pPr>
            <w:r w:rsidRPr="007F52F9">
              <w:rPr>
                <w:color w:val="000000" w:themeColor="text1"/>
                <w:lang w:val="en-US"/>
              </w:rPr>
              <w:t xml:space="preserve">30 and 70 GHz </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14:paraId="6914B927" w14:textId="0613A9CC" w:rsidR="00C865CA" w:rsidRPr="007F52F9" w:rsidRDefault="00A416F2" w:rsidP="00BE4DD1">
            <w:pPr>
              <w:spacing w:after="0"/>
              <w:jc w:val="both"/>
              <w:rPr>
                <w:color w:val="000000" w:themeColor="text1"/>
                <w:lang w:val="en-US"/>
              </w:rPr>
            </w:pPr>
            <w:r w:rsidRPr="007F52F9">
              <w:rPr>
                <w:color w:val="000000" w:themeColor="text1"/>
                <w:lang w:val="en-US"/>
              </w:rPr>
              <w:t>Using 28GHz is not precluded in addition to 30 and 70GHz.</w:t>
            </w:r>
          </w:p>
        </w:tc>
      </w:tr>
      <w:tr w:rsidR="00C865CA" w:rsidRPr="00C865CA" w14:paraId="081903D7" w14:textId="77777777" w:rsidTr="00A416F2">
        <w:trPr>
          <w:trHeight w:val="264"/>
          <w:jc w:val="center"/>
        </w:trPr>
        <w:tc>
          <w:tcPr>
            <w:tcW w:w="2610" w:type="dxa"/>
            <w:tcBorders>
              <w:top w:val="nil"/>
              <w:left w:val="single" w:sz="8" w:space="0" w:color="auto"/>
              <w:bottom w:val="dotted" w:sz="4" w:space="0" w:color="000000"/>
              <w:right w:val="single" w:sz="8" w:space="0" w:color="auto"/>
            </w:tcBorders>
            <w:shd w:val="clear" w:color="auto" w:fill="auto"/>
            <w:vAlign w:val="center"/>
            <w:hideMark/>
          </w:tcPr>
          <w:p w14:paraId="0FD85E77"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Channel Bandwidth</w:t>
            </w:r>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hideMark/>
          </w:tcPr>
          <w:p w14:paraId="7AACBB24" w14:textId="7A2EB528" w:rsidR="00C865CA" w:rsidRPr="007F52F9" w:rsidRDefault="00621848" w:rsidP="00621848">
            <w:pPr>
              <w:spacing w:after="0"/>
              <w:jc w:val="both"/>
              <w:rPr>
                <w:color w:val="000000" w:themeColor="text1"/>
                <w:lang w:val="en-US"/>
              </w:rPr>
            </w:pPr>
            <w:r w:rsidRPr="007F52F9">
              <w:rPr>
                <w:color w:val="000000" w:themeColor="text1"/>
                <w:lang w:val="en-US"/>
              </w:rPr>
              <w:t>200 MHz</w:t>
            </w:r>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tcPr>
          <w:p w14:paraId="4F9451F5" w14:textId="7975EA6E" w:rsidR="00C865CA" w:rsidRPr="007F52F9" w:rsidRDefault="00621848" w:rsidP="00BE4DD1">
            <w:pPr>
              <w:spacing w:after="0"/>
              <w:jc w:val="both"/>
              <w:rPr>
                <w:color w:val="000000" w:themeColor="text1"/>
                <w:lang w:val="en-US"/>
              </w:rPr>
            </w:pPr>
            <w:r w:rsidRPr="007F52F9">
              <w:rPr>
                <w:color w:val="000000" w:themeColor="text1"/>
                <w:lang w:val="en-US"/>
              </w:rPr>
              <w:t>Even wider channel bandwidth for example 1GHz can be considered later after understanding the baseline in SI</w:t>
            </w:r>
          </w:p>
        </w:tc>
      </w:tr>
      <w:tr w:rsidR="00621848" w:rsidRPr="00C865CA" w14:paraId="3039480A" w14:textId="77777777" w:rsidTr="00A416F2">
        <w:trPr>
          <w:trHeight w:val="264"/>
          <w:jc w:val="center"/>
        </w:trPr>
        <w:tc>
          <w:tcPr>
            <w:tcW w:w="2610" w:type="dxa"/>
            <w:tcBorders>
              <w:top w:val="nil"/>
              <w:left w:val="single" w:sz="8" w:space="0" w:color="auto"/>
              <w:bottom w:val="dotted" w:sz="4" w:space="0" w:color="000000"/>
              <w:right w:val="single" w:sz="8" w:space="0" w:color="auto"/>
            </w:tcBorders>
            <w:shd w:val="clear" w:color="auto" w:fill="auto"/>
            <w:vAlign w:val="center"/>
          </w:tcPr>
          <w:p w14:paraId="148A508C" w14:textId="6E5326F0" w:rsidR="00621848" w:rsidRPr="007F52F9" w:rsidRDefault="00621848" w:rsidP="00BE4DD1">
            <w:pPr>
              <w:spacing w:after="0"/>
              <w:jc w:val="both"/>
              <w:rPr>
                <w:b/>
                <w:bCs/>
                <w:color w:val="000000" w:themeColor="text1"/>
                <w:lang w:val="en-US"/>
              </w:rPr>
            </w:pPr>
            <w:r w:rsidRPr="007F52F9">
              <w:rPr>
                <w:b/>
                <w:bCs/>
                <w:color w:val="000000" w:themeColor="text1"/>
                <w:lang w:val="en-US"/>
              </w:rPr>
              <w:t>Channel arrangement</w:t>
            </w:r>
          </w:p>
        </w:tc>
        <w:tc>
          <w:tcPr>
            <w:tcW w:w="3150" w:type="dxa"/>
            <w:tcBorders>
              <w:top w:val="dotted" w:sz="4" w:space="0" w:color="000000"/>
              <w:left w:val="single" w:sz="8" w:space="0" w:color="auto"/>
              <w:bottom w:val="dotted" w:sz="4" w:space="0" w:color="000000"/>
              <w:right w:val="single" w:sz="8" w:space="0" w:color="auto"/>
            </w:tcBorders>
            <w:shd w:val="clear" w:color="auto" w:fill="auto"/>
            <w:vAlign w:val="center"/>
          </w:tcPr>
          <w:p w14:paraId="1940BD37" w14:textId="2E7E092F" w:rsidR="00621848" w:rsidRPr="007F52F9" w:rsidRDefault="00621848" w:rsidP="00621848">
            <w:pPr>
              <w:spacing w:after="0"/>
              <w:jc w:val="both"/>
              <w:rPr>
                <w:rFonts w:hint="eastAsia"/>
                <w:color w:val="000000" w:themeColor="text1"/>
                <w:lang w:val="en-US" w:eastAsia="ja-JP"/>
              </w:rPr>
            </w:pPr>
            <w:r w:rsidRPr="007F52F9">
              <w:rPr>
                <w:color w:val="000000" w:themeColor="text1"/>
                <w:lang w:val="en-US" w:eastAsia="ja-JP"/>
              </w:rPr>
              <w:t>S</w:t>
            </w:r>
            <w:r w:rsidRPr="007F52F9">
              <w:rPr>
                <w:rFonts w:hint="eastAsia"/>
                <w:color w:val="000000" w:themeColor="text1"/>
                <w:lang w:val="en-US" w:eastAsia="ja-JP"/>
              </w:rPr>
              <w:t>ymmetrical</w:t>
            </w:r>
            <w:r w:rsidRPr="007F52F9">
              <w:rPr>
                <w:color w:val="000000" w:themeColor="text1"/>
                <w:lang w:val="en-US" w:eastAsia="ja-JP"/>
              </w:rPr>
              <w:t xml:space="preserve"> </w:t>
            </w:r>
            <w:r w:rsidRPr="007F52F9">
              <w:rPr>
                <w:rFonts w:hint="eastAsia"/>
                <w:color w:val="000000" w:themeColor="text1"/>
                <w:lang w:val="en-US" w:eastAsia="ja-JP"/>
              </w:rPr>
              <w:t>(200MHz vs 200MHz)</w:t>
            </w:r>
          </w:p>
        </w:tc>
        <w:tc>
          <w:tcPr>
            <w:tcW w:w="3870" w:type="dxa"/>
            <w:tcBorders>
              <w:top w:val="single" w:sz="4" w:space="0" w:color="9BC2E6"/>
              <w:left w:val="single" w:sz="8" w:space="0" w:color="auto"/>
              <w:bottom w:val="single" w:sz="4" w:space="0" w:color="9BC2E6"/>
              <w:right w:val="single" w:sz="8" w:space="0" w:color="auto"/>
            </w:tcBorders>
            <w:shd w:val="clear" w:color="auto" w:fill="auto"/>
            <w:vAlign w:val="center"/>
          </w:tcPr>
          <w:p w14:paraId="63A79CDA" w14:textId="14EE2170" w:rsidR="00621848" w:rsidRPr="007F52F9" w:rsidRDefault="00621848" w:rsidP="00BE4DD1">
            <w:pPr>
              <w:spacing w:after="0"/>
              <w:jc w:val="both"/>
              <w:rPr>
                <w:color w:val="000000" w:themeColor="text1"/>
                <w:lang w:val="en-US"/>
              </w:rPr>
            </w:pPr>
            <w:r w:rsidRPr="007F52F9">
              <w:rPr>
                <w:color w:val="000000" w:themeColor="text1"/>
                <w:lang w:val="en-US"/>
              </w:rPr>
              <w:t>Start with symmetrical as 1st step</w:t>
            </w:r>
          </w:p>
        </w:tc>
      </w:tr>
      <w:tr w:rsidR="00C865CA" w:rsidRPr="00C865CA" w14:paraId="4420C190" w14:textId="77777777" w:rsidTr="00A416F2">
        <w:trPr>
          <w:trHeight w:val="792"/>
          <w:jc w:val="center"/>
        </w:trPr>
        <w:tc>
          <w:tcPr>
            <w:tcW w:w="261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2B50ECB"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UL power control</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37056AB9" w14:textId="71A6F459" w:rsidR="00C865CA" w:rsidRPr="007F52F9" w:rsidRDefault="00621848" w:rsidP="00621848">
            <w:pPr>
              <w:spacing w:after="0"/>
              <w:jc w:val="both"/>
              <w:rPr>
                <w:color w:val="000000" w:themeColor="text1"/>
                <w:lang w:val="en-US"/>
              </w:rPr>
            </w:pPr>
            <w:r w:rsidRPr="007F52F9">
              <w:rPr>
                <w:color w:val="000000" w:themeColor="text1"/>
                <w:lang w:val="en-US"/>
              </w:rPr>
              <w:t>The same as TR 36.942, adopting PC set parameters to the scenario</w:t>
            </w:r>
          </w:p>
        </w:tc>
        <w:tc>
          <w:tcPr>
            <w:tcW w:w="3870" w:type="dxa"/>
            <w:tcBorders>
              <w:top w:val="single" w:sz="4" w:space="0" w:color="9BC2E6"/>
              <w:left w:val="single" w:sz="8" w:space="0" w:color="auto"/>
              <w:bottom w:val="single" w:sz="4" w:space="0" w:color="9BC2E6"/>
              <w:right w:val="single" w:sz="8" w:space="0" w:color="auto"/>
            </w:tcBorders>
            <w:shd w:val="clear" w:color="DDEBF7" w:fill="DDEBF7"/>
            <w:vAlign w:val="center"/>
          </w:tcPr>
          <w:p w14:paraId="65DC010A" w14:textId="1283A200" w:rsidR="00C865CA" w:rsidRPr="007F52F9" w:rsidRDefault="00C865CA" w:rsidP="00BE4DD1">
            <w:pPr>
              <w:spacing w:after="0"/>
              <w:jc w:val="both"/>
              <w:rPr>
                <w:color w:val="000000" w:themeColor="text1"/>
                <w:lang w:val="en-US"/>
              </w:rPr>
            </w:pPr>
          </w:p>
        </w:tc>
      </w:tr>
      <w:tr w:rsidR="00C865CA" w:rsidRPr="00C865CA" w14:paraId="21107919" w14:textId="77777777" w:rsidTr="00A416F2">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37AE7E7D"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DL power control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3C375EB2" w14:textId="77777777" w:rsidR="00C865CA" w:rsidRPr="007F52F9" w:rsidRDefault="00C865CA" w:rsidP="00BE4DD1">
            <w:pPr>
              <w:spacing w:after="0"/>
              <w:jc w:val="both"/>
              <w:rPr>
                <w:color w:val="000000" w:themeColor="text1"/>
                <w:lang w:val="en-US"/>
              </w:rPr>
            </w:pPr>
            <w:r w:rsidRPr="007F52F9">
              <w:rPr>
                <w:color w:val="000000" w:themeColor="text1"/>
                <w:lang w:val="en-US"/>
              </w:rPr>
              <w:t>No power control</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3338B1F9" w14:textId="1E88355F" w:rsidR="00C865CA" w:rsidRPr="007F52F9" w:rsidRDefault="00C865CA" w:rsidP="00621848">
            <w:pPr>
              <w:spacing w:after="0"/>
              <w:jc w:val="both"/>
              <w:rPr>
                <w:rFonts w:hint="eastAsia"/>
                <w:color w:val="000000" w:themeColor="text1"/>
                <w:lang w:val="en-US" w:eastAsia="ja-JP"/>
              </w:rPr>
            </w:pPr>
          </w:p>
        </w:tc>
      </w:tr>
      <w:tr w:rsidR="00621848" w:rsidRPr="00C865CA" w14:paraId="1BCFA6F1" w14:textId="77777777" w:rsidTr="00A416F2">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tcPr>
          <w:p w14:paraId="629E7402" w14:textId="3C4114DB" w:rsidR="00621848" w:rsidRPr="007F52F9" w:rsidRDefault="00621848" w:rsidP="00BE4DD1">
            <w:pPr>
              <w:spacing w:after="0"/>
              <w:jc w:val="both"/>
              <w:rPr>
                <w:rFonts w:hint="eastAsia"/>
                <w:b/>
                <w:bCs/>
                <w:color w:val="000000" w:themeColor="text1"/>
                <w:lang w:val="en-US" w:eastAsia="ja-JP"/>
              </w:rPr>
            </w:pPr>
            <w:r w:rsidRPr="007F52F9">
              <w:rPr>
                <w:rFonts w:hint="eastAsia"/>
                <w:b/>
                <w:bCs/>
                <w:color w:val="000000" w:themeColor="text1"/>
                <w:lang w:val="en-US" w:eastAsia="ja-JP"/>
              </w:rPr>
              <w:t xml:space="preserve">The number of antenna </w:t>
            </w:r>
            <w:r w:rsidRPr="007F52F9">
              <w:rPr>
                <w:b/>
                <w:bCs/>
                <w:color w:val="000000" w:themeColor="text1"/>
                <w:lang w:val="en-US" w:eastAsia="ja-JP"/>
              </w:rPr>
              <w:t>element</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tcPr>
          <w:p w14:paraId="090C6309" w14:textId="77777777" w:rsidR="00621848" w:rsidRPr="007F52F9" w:rsidRDefault="00621848" w:rsidP="00621848">
            <w:pPr>
              <w:spacing w:after="0"/>
              <w:jc w:val="both"/>
              <w:rPr>
                <w:color w:val="000000" w:themeColor="text1"/>
              </w:rPr>
            </w:pPr>
            <w:r w:rsidRPr="007F52F9">
              <w:rPr>
                <w:color w:val="000000" w:themeColor="text1"/>
              </w:rPr>
              <w:t>For 30GHz: UE: 16, eNB: 256</w:t>
            </w:r>
          </w:p>
          <w:p w14:paraId="73D550A2" w14:textId="1DCA39E2" w:rsidR="00621848" w:rsidRPr="007F52F9" w:rsidRDefault="00621848" w:rsidP="00621848">
            <w:pPr>
              <w:spacing w:after="0"/>
              <w:jc w:val="both"/>
              <w:rPr>
                <w:color w:val="000000" w:themeColor="text1"/>
              </w:rPr>
            </w:pPr>
            <w:r w:rsidRPr="007F52F9">
              <w:rPr>
                <w:color w:val="000000" w:themeColor="text1"/>
              </w:rPr>
              <w:t>For 70GHz: UE: 32, eNB: 256</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598343DF" w14:textId="69BED7F1" w:rsidR="00621848" w:rsidRPr="007F52F9" w:rsidRDefault="00621848" w:rsidP="00621848">
            <w:pPr>
              <w:spacing w:after="0"/>
              <w:jc w:val="both"/>
              <w:rPr>
                <w:rFonts w:hint="eastAsia"/>
                <w:color w:val="000000" w:themeColor="text1"/>
                <w:lang w:val="en-US" w:eastAsia="ja-JP"/>
              </w:rPr>
            </w:pPr>
            <w:r w:rsidRPr="007F52F9">
              <w:rPr>
                <w:color w:val="000000" w:themeColor="text1"/>
              </w:rPr>
              <w:t>Companies are encouraged to provide technical justification on these values.</w:t>
            </w:r>
            <w:r w:rsidRPr="007F52F9">
              <w:rPr>
                <w:color w:val="000000" w:themeColor="text1"/>
              </w:rPr>
              <w:t xml:space="preserve"> </w:t>
            </w:r>
            <w:r w:rsidRPr="007F52F9">
              <w:rPr>
                <w:color w:val="000000" w:themeColor="text1"/>
                <w:shd w:val="clear" w:color="auto" w:fill="FFFF00"/>
              </w:rPr>
              <w:t>These number can be discussed after checking the latest RAN1 status.</w:t>
            </w:r>
          </w:p>
        </w:tc>
      </w:tr>
      <w:tr w:rsidR="00C865CA" w:rsidRPr="00C865CA" w14:paraId="0D59789B" w14:textId="77777777" w:rsidTr="00A416F2">
        <w:trPr>
          <w:trHeight w:val="264"/>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14:paraId="10026D2E"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UE antenna</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82340EC" w14:textId="0F8F8362" w:rsidR="00C865CA" w:rsidRPr="007F52F9" w:rsidRDefault="00621848" w:rsidP="00621848">
            <w:pPr>
              <w:spacing w:after="0"/>
              <w:jc w:val="both"/>
              <w:rPr>
                <w:color w:val="000000" w:themeColor="text1"/>
                <w:lang w:val="en-US"/>
              </w:rPr>
            </w:pPr>
            <w:r w:rsidRPr="007F52F9">
              <w:rPr>
                <w:color w:val="000000" w:themeColor="text1"/>
                <w:lang w:val="en-US"/>
              </w:rPr>
              <w:t>FFS</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14:paraId="0B7E74F4" w14:textId="28E2B550" w:rsidR="00C865CA" w:rsidRPr="007F52F9" w:rsidRDefault="00621848" w:rsidP="00BE4DD1">
            <w:pPr>
              <w:spacing w:after="0"/>
              <w:jc w:val="both"/>
              <w:rPr>
                <w:color w:val="000000" w:themeColor="text1"/>
                <w:lang w:val="en-US"/>
              </w:rPr>
            </w:pPr>
            <w:r w:rsidRPr="007F52F9">
              <w:rPr>
                <w:color w:val="000000" w:themeColor="text1"/>
                <w:lang w:val="en-US"/>
              </w:rPr>
              <w:t>Further discuss the model based on RAN1 SI Channel modelling SI</w:t>
            </w:r>
          </w:p>
        </w:tc>
      </w:tr>
      <w:tr w:rsidR="00C865CA" w:rsidRPr="00C865CA" w14:paraId="142F765F" w14:textId="77777777" w:rsidTr="00A416F2">
        <w:trPr>
          <w:trHeight w:val="528"/>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3C747C1E"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lastRenderedPageBreak/>
              <w:t xml:space="preserve">BS antenna </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5BCA725F" w14:textId="5FC33F76" w:rsidR="00C865CA" w:rsidRPr="007F52F9" w:rsidRDefault="00621848" w:rsidP="00BE4DD1">
            <w:pPr>
              <w:spacing w:after="0"/>
              <w:jc w:val="both"/>
              <w:rPr>
                <w:color w:val="000000" w:themeColor="text1"/>
                <w:lang w:val="en-US"/>
              </w:rPr>
            </w:pPr>
            <w:r w:rsidRPr="007F52F9">
              <w:rPr>
                <w:color w:val="000000" w:themeColor="text1"/>
                <w:lang w:val="en-US"/>
              </w:rPr>
              <w:t>FFS</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0092A0CD" w14:textId="6DB3BD8B" w:rsidR="00C865CA" w:rsidRPr="007F52F9" w:rsidRDefault="00621848" w:rsidP="00BE4DD1">
            <w:pPr>
              <w:spacing w:after="0"/>
              <w:jc w:val="both"/>
              <w:rPr>
                <w:color w:val="000000" w:themeColor="text1"/>
                <w:lang w:val="en-US"/>
              </w:rPr>
            </w:pPr>
            <w:r w:rsidRPr="007F52F9">
              <w:rPr>
                <w:color w:val="000000" w:themeColor="text1"/>
                <w:lang w:val="en-US"/>
              </w:rPr>
              <w:t>Further discuss the model based on RAN1 SI Channel modelling SI</w:t>
            </w:r>
          </w:p>
        </w:tc>
      </w:tr>
      <w:tr w:rsidR="00621848" w:rsidRPr="00C865CA" w14:paraId="0F8E5BF7" w14:textId="77777777" w:rsidTr="00A416F2">
        <w:trPr>
          <w:trHeight w:val="528"/>
          <w:jc w:val="center"/>
        </w:trPr>
        <w:tc>
          <w:tcPr>
            <w:tcW w:w="2610" w:type="dxa"/>
            <w:tcBorders>
              <w:top w:val="nil"/>
              <w:left w:val="single" w:sz="8" w:space="0" w:color="auto"/>
              <w:bottom w:val="dotted" w:sz="4" w:space="0" w:color="auto"/>
              <w:right w:val="single" w:sz="8" w:space="0" w:color="auto"/>
            </w:tcBorders>
            <w:shd w:val="clear" w:color="auto" w:fill="auto"/>
            <w:vAlign w:val="center"/>
          </w:tcPr>
          <w:p w14:paraId="3A32D2BE" w14:textId="636AD2CB" w:rsidR="00621848" w:rsidRPr="007F52F9" w:rsidRDefault="00621848" w:rsidP="00BE4DD1">
            <w:pPr>
              <w:spacing w:after="0"/>
              <w:jc w:val="both"/>
              <w:rPr>
                <w:rFonts w:hint="eastAsia"/>
                <w:b/>
                <w:bCs/>
                <w:color w:val="000000" w:themeColor="text1"/>
                <w:lang w:val="en-US" w:eastAsia="ja-JP"/>
              </w:rPr>
            </w:pPr>
            <w:r w:rsidRPr="007F52F9">
              <w:rPr>
                <w:rFonts w:hint="eastAsia"/>
                <w:b/>
                <w:bCs/>
                <w:color w:val="000000" w:themeColor="text1"/>
                <w:lang w:val="en-US" w:eastAsia="ja-JP"/>
              </w:rPr>
              <w:t>Beamforming</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tcPr>
          <w:p w14:paraId="4ACB8AA8" w14:textId="14259B34" w:rsidR="00621848" w:rsidRPr="007F52F9" w:rsidRDefault="00621848" w:rsidP="00BE4DD1">
            <w:pPr>
              <w:spacing w:after="0"/>
              <w:jc w:val="both"/>
              <w:rPr>
                <w:rFonts w:hint="eastAsia"/>
                <w:color w:val="000000" w:themeColor="text1"/>
                <w:lang w:val="en-US" w:eastAsia="ja-JP"/>
              </w:rPr>
            </w:pPr>
            <w:r w:rsidRPr="007F52F9">
              <w:rPr>
                <w:rFonts w:hint="eastAsia"/>
                <w:color w:val="000000" w:themeColor="text1"/>
                <w:lang w:val="en-US" w:eastAsia="ja-JP"/>
              </w:rPr>
              <w:t>FFS</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7D931B61" w14:textId="77777777" w:rsidR="00621848" w:rsidRPr="007F52F9" w:rsidRDefault="00621848" w:rsidP="00BE4DD1">
            <w:pPr>
              <w:spacing w:after="0"/>
              <w:jc w:val="both"/>
              <w:rPr>
                <w:color w:val="000000" w:themeColor="text1"/>
                <w:lang w:val="en-US"/>
              </w:rPr>
            </w:pPr>
          </w:p>
        </w:tc>
      </w:tr>
      <w:tr w:rsidR="00C865CA" w:rsidRPr="00C865CA" w14:paraId="269ED8D7" w14:textId="77777777" w:rsidTr="00A416F2">
        <w:trPr>
          <w:trHeight w:val="264"/>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14:paraId="7BDCE031" w14:textId="49970A71" w:rsidR="00C865CA" w:rsidRPr="007F52F9" w:rsidRDefault="00C865CA" w:rsidP="00BE4DD1">
            <w:pPr>
              <w:spacing w:after="0"/>
              <w:jc w:val="both"/>
              <w:rPr>
                <w:b/>
                <w:bCs/>
                <w:color w:val="000000" w:themeColor="text1"/>
                <w:lang w:val="en-US"/>
              </w:rPr>
            </w:pPr>
            <w:r w:rsidRPr="007F52F9">
              <w:rPr>
                <w:b/>
                <w:bCs/>
                <w:color w:val="000000" w:themeColor="text1"/>
                <w:lang w:val="en-US"/>
              </w:rPr>
              <w:t>SINR to throughput  mapping</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6391C0A8" w14:textId="1B06CED4" w:rsidR="00C865CA" w:rsidRPr="007F52F9" w:rsidRDefault="00621848" w:rsidP="00BE4DD1">
            <w:pPr>
              <w:spacing w:after="0"/>
              <w:jc w:val="both"/>
              <w:rPr>
                <w:color w:val="000000" w:themeColor="text1"/>
                <w:lang w:val="en-US"/>
              </w:rPr>
            </w:pPr>
            <w:r w:rsidRPr="007F52F9">
              <w:rPr>
                <w:color w:val="000000" w:themeColor="text1"/>
                <w:lang w:val="en-US"/>
              </w:rPr>
              <w:t>Adopt scaled Shannon's formula with update truncation and attenuation parameters until we get RAN1, we will use 36.942</w:t>
            </w:r>
            <w:r w:rsidR="00C865CA" w:rsidRPr="007F52F9">
              <w:rPr>
                <w:color w:val="000000" w:themeColor="text1"/>
                <w:lang w:val="en-US"/>
              </w:rPr>
              <w:t xml:space="preserve">Scaled Shannon's formula. </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14:paraId="6998D135" w14:textId="61519161" w:rsidR="00C865CA" w:rsidRPr="007F52F9" w:rsidRDefault="00C865CA" w:rsidP="00BE4DD1">
            <w:pPr>
              <w:spacing w:after="0"/>
              <w:jc w:val="both"/>
              <w:rPr>
                <w:color w:val="000000" w:themeColor="text1"/>
                <w:lang w:val="en-US"/>
              </w:rPr>
            </w:pPr>
          </w:p>
        </w:tc>
      </w:tr>
      <w:tr w:rsidR="00C865CA" w:rsidRPr="00C865CA" w14:paraId="2389E68B" w14:textId="77777777" w:rsidTr="00A416F2">
        <w:trPr>
          <w:trHeight w:val="1848"/>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36F169E0" w14:textId="063A6840" w:rsidR="00C865CA" w:rsidRPr="007F52F9" w:rsidRDefault="007F52F9" w:rsidP="007F52F9">
            <w:pPr>
              <w:spacing w:after="0"/>
              <w:jc w:val="both"/>
              <w:rPr>
                <w:b/>
                <w:bCs/>
                <w:color w:val="000000" w:themeColor="text1"/>
                <w:lang w:val="en-US"/>
              </w:rPr>
            </w:pPr>
            <w:r w:rsidRPr="007F52F9">
              <w:rPr>
                <w:b/>
                <w:bCs/>
                <w:color w:val="000000" w:themeColor="text1"/>
                <w:lang w:val="en-US"/>
              </w:rPr>
              <w:t>Co-existence scenario in terms of i</w:t>
            </w:r>
            <w:r w:rsidR="00C865CA" w:rsidRPr="007F52F9">
              <w:rPr>
                <w:b/>
                <w:bCs/>
                <w:color w:val="000000" w:themeColor="text1"/>
                <w:lang w:val="en-US"/>
              </w:rPr>
              <w:t>nterference</w:t>
            </w:r>
            <w:r w:rsidRPr="007F52F9">
              <w:rPr>
                <w:b/>
                <w:bCs/>
                <w:color w:val="000000" w:themeColor="text1"/>
                <w:lang w:val="en-US"/>
              </w:rPr>
              <w:t xml:space="preserve"> </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667791EF" w14:textId="008F487A" w:rsidR="00C865CA" w:rsidRPr="007F52F9" w:rsidRDefault="007F52F9" w:rsidP="003F0F90">
            <w:pPr>
              <w:spacing w:after="0"/>
              <w:rPr>
                <w:color w:val="000000" w:themeColor="text1"/>
                <w:lang w:val="en-US"/>
              </w:rPr>
            </w:pPr>
            <w:r w:rsidRPr="007F52F9">
              <w:rPr>
                <w:color w:val="000000" w:themeColor="text1"/>
                <w:lang w:val="en-US"/>
              </w:rPr>
              <w:t>UL to UL and DL to DL</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14267CAE" w14:textId="0941024C" w:rsidR="00C865CA" w:rsidRPr="007F52F9" w:rsidRDefault="007F52F9" w:rsidP="007F52F9">
            <w:pPr>
              <w:spacing w:after="0"/>
              <w:jc w:val="both"/>
              <w:rPr>
                <w:color w:val="000000" w:themeColor="text1"/>
                <w:lang w:val="en-US"/>
              </w:rPr>
            </w:pPr>
            <w:r w:rsidRPr="007F52F9">
              <w:rPr>
                <w:color w:val="000000" w:themeColor="text1"/>
                <w:lang w:val="en-US"/>
              </w:rPr>
              <w:t>Not consider UE to DL and DL to UL for the moment. Specifically for UE to UE, this can be discussed after understanding specific mitigation techniques.</w:t>
            </w:r>
          </w:p>
        </w:tc>
      </w:tr>
      <w:tr w:rsidR="00C865CA" w:rsidRPr="00C865CA" w14:paraId="2222D0EA" w14:textId="77777777" w:rsidTr="00A416F2">
        <w:trPr>
          <w:trHeight w:val="528"/>
          <w:jc w:val="center"/>
        </w:trPr>
        <w:tc>
          <w:tcPr>
            <w:tcW w:w="2610" w:type="dxa"/>
            <w:tcBorders>
              <w:top w:val="nil"/>
              <w:left w:val="single" w:sz="8" w:space="0" w:color="auto"/>
              <w:bottom w:val="dotted" w:sz="4" w:space="0" w:color="auto"/>
              <w:right w:val="single" w:sz="8" w:space="0" w:color="auto"/>
            </w:tcBorders>
            <w:shd w:val="clear" w:color="DDEBF7" w:fill="DDEBF7"/>
            <w:vAlign w:val="center"/>
            <w:hideMark/>
          </w:tcPr>
          <w:p w14:paraId="7C5E3956"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Traffic</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45CA8616" w14:textId="77777777" w:rsidR="00C865CA" w:rsidRPr="007F52F9" w:rsidRDefault="00C865CA" w:rsidP="00BE4DD1">
            <w:pPr>
              <w:spacing w:after="0"/>
              <w:jc w:val="both"/>
              <w:rPr>
                <w:color w:val="000000" w:themeColor="text1"/>
                <w:lang w:val="en-US"/>
              </w:rPr>
            </w:pPr>
            <w:r w:rsidRPr="007F52F9">
              <w:rPr>
                <w:color w:val="000000" w:themeColor="text1"/>
                <w:lang w:val="en-US"/>
              </w:rPr>
              <w:t>Full buffer</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tcPr>
          <w:p w14:paraId="0586DEED" w14:textId="55005E9C" w:rsidR="00C865CA" w:rsidRPr="007F52F9" w:rsidRDefault="00C865CA" w:rsidP="00BE4DD1">
            <w:pPr>
              <w:spacing w:after="0"/>
              <w:jc w:val="both"/>
              <w:rPr>
                <w:color w:val="000000" w:themeColor="text1"/>
                <w:lang w:val="en-US"/>
              </w:rPr>
            </w:pPr>
          </w:p>
        </w:tc>
      </w:tr>
      <w:tr w:rsidR="00C865CA" w:rsidRPr="00C865CA" w14:paraId="69A32B59" w14:textId="77777777" w:rsidTr="00A416F2">
        <w:trPr>
          <w:trHeight w:val="264"/>
          <w:jc w:val="center"/>
        </w:trPr>
        <w:tc>
          <w:tcPr>
            <w:tcW w:w="2610" w:type="dxa"/>
            <w:tcBorders>
              <w:top w:val="nil"/>
              <w:left w:val="single" w:sz="8" w:space="0" w:color="auto"/>
              <w:bottom w:val="dotted" w:sz="4" w:space="0" w:color="auto"/>
              <w:right w:val="single" w:sz="8" w:space="0" w:color="auto"/>
            </w:tcBorders>
            <w:shd w:val="clear" w:color="auto" w:fill="auto"/>
            <w:vAlign w:val="center"/>
            <w:hideMark/>
          </w:tcPr>
          <w:p w14:paraId="2CB557EF"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ACI leakage model</w:t>
            </w:r>
          </w:p>
        </w:tc>
        <w:tc>
          <w:tcPr>
            <w:tcW w:w="315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02845420" w14:textId="77777777" w:rsidR="007F52F9" w:rsidRPr="007F52F9" w:rsidRDefault="007F52F9" w:rsidP="007F52F9">
            <w:pPr>
              <w:spacing w:after="0"/>
              <w:jc w:val="both"/>
              <w:rPr>
                <w:color w:val="000000" w:themeColor="text1"/>
                <w:lang w:val="en-US"/>
              </w:rPr>
            </w:pPr>
            <w:r w:rsidRPr="007F52F9">
              <w:rPr>
                <w:color w:val="000000" w:themeColor="text1"/>
                <w:lang w:val="en-US"/>
              </w:rPr>
              <w:t>In addition, model in ACLR is two step models in frequency</w:t>
            </w:r>
          </w:p>
          <w:p w14:paraId="299C0F9E" w14:textId="77777777" w:rsidR="007F52F9" w:rsidRPr="007F52F9" w:rsidRDefault="007F52F9" w:rsidP="007F52F9">
            <w:pPr>
              <w:spacing w:after="0"/>
              <w:jc w:val="both"/>
              <w:rPr>
                <w:color w:val="000000" w:themeColor="text1"/>
                <w:lang w:val="en-US"/>
              </w:rPr>
            </w:pPr>
            <w:r w:rsidRPr="007F52F9">
              <w:rPr>
                <w:color w:val="000000" w:themeColor="text1"/>
                <w:lang w:val="en-US"/>
              </w:rPr>
              <w:t>Ues the different correlation levels to study the spatial patterns for ACLR. ACLR metric defines integrated over the whole space.</w:t>
            </w:r>
          </w:p>
          <w:p w14:paraId="630FD885" w14:textId="77777777" w:rsidR="007F52F9" w:rsidRPr="007F52F9" w:rsidRDefault="007F52F9" w:rsidP="007F52F9">
            <w:pPr>
              <w:spacing w:after="0"/>
              <w:jc w:val="both"/>
              <w:rPr>
                <w:color w:val="000000" w:themeColor="text1"/>
                <w:lang w:val="en-US"/>
              </w:rPr>
            </w:pPr>
            <w:r w:rsidRPr="007F52F9">
              <w:rPr>
                <w:color w:val="000000" w:themeColor="text1"/>
                <w:lang w:val="en-US"/>
              </w:rPr>
              <w:t xml:space="preserve">If study should ACLR can be modelled as flat in space, then, we just use integrated ACLR model. </w:t>
            </w:r>
          </w:p>
          <w:p w14:paraId="43FB24C5" w14:textId="71F25907" w:rsidR="00C865CA" w:rsidRPr="007F52F9" w:rsidRDefault="007F52F9" w:rsidP="007F52F9">
            <w:pPr>
              <w:spacing w:after="0"/>
              <w:jc w:val="both"/>
              <w:rPr>
                <w:color w:val="000000" w:themeColor="text1"/>
                <w:lang w:val="en-US"/>
              </w:rPr>
            </w:pPr>
            <w:r w:rsidRPr="007F52F9">
              <w:rPr>
                <w:color w:val="000000" w:themeColor="text1"/>
                <w:lang w:val="en-US"/>
              </w:rPr>
              <w:t>Assume flat ACS in frequency. In space, study if ACS model is flat.</w:t>
            </w:r>
          </w:p>
        </w:tc>
        <w:tc>
          <w:tcPr>
            <w:tcW w:w="3870" w:type="dxa"/>
            <w:tcBorders>
              <w:top w:val="dotted" w:sz="4" w:space="0" w:color="auto"/>
              <w:left w:val="single" w:sz="8" w:space="0" w:color="auto"/>
              <w:bottom w:val="dotted" w:sz="4" w:space="0" w:color="auto"/>
              <w:right w:val="single" w:sz="8" w:space="0" w:color="auto"/>
            </w:tcBorders>
            <w:shd w:val="clear" w:color="auto" w:fill="auto"/>
            <w:vAlign w:val="center"/>
          </w:tcPr>
          <w:p w14:paraId="14BE7535" w14:textId="0A3A629D" w:rsidR="00C865CA" w:rsidRPr="007F52F9" w:rsidRDefault="00C865CA" w:rsidP="00BE4DD1">
            <w:pPr>
              <w:spacing w:after="0"/>
              <w:jc w:val="both"/>
              <w:rPr>
                <w:color w:val="000000" w:themeColor="text1"/>
                <w:lang w:val="en-US"/>
              </w:rPr>
            </w:pPr>
          </w:p>
        </w:tc>
      </w:tr>
      <w:tr w:rsidR="00C865CA" w:rsidRPr="00C865CA" w14:paraId="10B3720B" w14:textId="77777777" w:rsidTr="007F52F9">
        <w:trPr>
          <w:trHeight w:val="804"/>
          <w:jc w:val="center"/>
        </w:trPr>
        <w:tc>
          <w:tcPr>
            <w:tcW w:w="2610" w:type="dxa"/>
            <w:tcBorders>
              <w:top w:val="nil"/>
              <w:left w:val="single" w:sz="8" w:space="0" w:color="auto"/>
              <w:bottom w:val="nil"/>
              <w:right w:val="single" w:sz="8" w:space="0" w:color="auto"/>
            </w:tcBorders>
            <w:shd w:val="clear" w:color="DDEBF7" w:fill="DDEBF7"/>
            <w:vAlign w:val="center"/>
            <w:hideMark/>
          </w:tcPr>
          <w:p w14:paraId="33C2DEE8" w14:textId="77777777" w:rsidR="00C865CA" w:rsidRPr="007F52F9" w:rsidRDefault="00C865CA" w:rsidP="00BE4DD1">
            <w:pPr>
              <w:spacing w:after="0"/>
              <w:jc w:val="both"/>
              <w:rPr>
                <w:b/>
                <w:bCs/>
                <w:color w:val="000000" w:themeColor="text1"/>
                <w:lang w:val="en-US"/>
              </w:rPr>
            </w:pPr>
            <w:r w:rsidRPr="007F52F9">
              <w:rPr>
                <w:b/>
                <w:bCs/>
                <w:color w:val="000000" w:themeColor="text1"/>
                <w:lang w:val="en-US"/>
              </w:rPr>
              <w:t>Performance metric</w:t>
            </w:r>
          </w:p>
        </w:tc>
        <w:tc>
          <w:tcPr>
            <w:tcW w:w="315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55EE417F" w14:textId="1EB834E0" w:rsidR="00C865CA" w:rsidRPr="007F52F9" w:rsidRDefault="00C865CA" w:rsidP="00BE4DD1">
            <w:pPr>
              <w:spacing w:after="0"/>
              <w:jc w:val="both"/>
              <w:rPr>
                <w:color w:val="000000" w:themeColor="text1"/>
                <w:lang w:val="en-US"/>
              </w:rPr>
            </w:pPr>
            <w:r w:rsidRPr="007F52F9">
              <w:rPr>
                <w:color w:val="000000" w:themeColor="text1"/>
                <w:lang w:val="en-US"/>
              </w:rPr>
              <w:t>Throughput degradation compared to single operator case, i.e. no ACI. Both mean and 5%-tile are considered.</w:t>
            </w:r>
          </w:p>
        </w:tc>
        <w:tc>
          <w:tcPr>
            <w:tcW w:w="387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30538F76" w14:textId="77777777" w:rsidR="00C865CA" w:rsidRPr="007F52F9" w:rsidRDefault="00C865CA" w:rsidP="00BE4DD1">
            <w:pPr>
              <w:spacing w:after="0"/>
              <w:jc w:val="both"/>
              <w:rPr>
                <w:color w:val="000000" w:themeColor="text1"/>
                <w:lang w:val="en-US"/>
              </w:rPr>
            </w:pPr>
            <w:r w:rsidRPr="007F52F9">
              <w:rPr>
                <w:color w:val="000000" w:themeColor="text1"/>
                <w:lang w:val="en-US"/>
              </w:rPr>
              <w:t> </w:t>
            </w:r>
          </w:p>
        </w:tc>
      </w:tr>
      <w:tr w:rsidR="007F52F9" w:rsidRPr="00C865CA" w14:paraId="68997543" w14:textId="77777777" w:rsidTr="00BE4DD1">
        <w:trPr>
          <w:trHeight w:val="804"/>
          <w:jc w:val="center"/>
        </w:trPr>
        <w:tc>
          <w:tcPr>
            <w:tcW w:w="2610" w:type="dxa"/>
            <w:tcBorders>
              <w:top w:val="nil"/>
              <w:left w:val="single" w:sz="8" w:space="0" w:color="auto"/>
              <w:bottom w:val="single" w:sz="8" w:space="0" w:color="auto"/>
              <w:right w:val="single" w:sz="8" w:space="0" w:color="auto"/>
            </w:tcBorders>
            <w:shd w:val="clear" w:color="DDEBF7" w:fill="DDEBF7"/>
            <w:vAlign w:val="center"/>
          </w:tcPr>
          <w:p w14:paraId="5626BB93" w14:textId="62346B06" w:rsidR="007F52F9" w:rsidRPr="007F52F9" w:rsidRDefault="007F52F9" w:rsidP="00BE4DD1">
            <w:pPr>
              <w:spacing w:after="0"/>
              <w:jc w:val="both"/>
              <w:rPr>
                <w:rFonts w:hint="eastAsia"/>
                <w:b/>
                <w:bCs/>
                <w:color w:val="000000" w:themeColor="text1"/>
                <w:lang w:val="en-US" w:eastAsia="ja-JP"/>
              </w:rPr>
            </w:pPr>
            <w:r>
              <w:rPr>
                <w:rFonts w:hint="eastAsia"/>
                <w:b/>
                <w:bCs/>
                <w:color w:val="000000" w:themeColor="text1"/>
                <w:lang w:val="en-US" w:eastAsia="ja-JP"/>
              </w:rPr>
              <w:t>NF</w:t>
            </w:r>
          </w:p>
        </w:tc>
        <w:tc>
          <w:tcPr>
            <w:tcW w:w="3150" w:type="dxa"/>
            <w:tcBorders>
              <w:top w:val="dotted" w:sz="4" w:space="0" w:color="auto"/>
              <w:left w:val="single" w:sz="8" w:space="0" w:color="auto"/>
              <w:bottom w:val="single" w:sz="8" w:space="0" w:color="auto"/>
              <w:right w:val="single" w:sz="8" w:space="0" w:color="auto"/>
            </w:tcBorders>
            <w:shd w:val="clear" w:color="DDEBF7" w:fill="DDEBF7"/>
            <w:vAlign w:val="center"/>
          </w:tcPr>
          <w:p w14:paraId="26F6DB68" w14:textId="0FFA9D4C" w:rsidR="007F52F9" w:rsidRPr="007F52F9" w:rsidRDefault="007F52F9" w:rsidP="00BE4DD1">
            <w:pPr>
              <w:spacing w:after="0"/>
              <w:jc w:val="both"/>
              <w:rPr>
                <w:rFonts w:hint="eastAsia"/>
                <w:color w:val="000000" w:themeColor="text1"/>
                <w:lang w:val="en-US" w:eastAsia="ja-JP"/>
              </w:rPr>
            </w:pPr>
            <w:r>
              <w:rPr>
                <w:rFonts w:hint="eastAsia"/>
                <w:color w:val="000000" w:themeColor="text1"/>
                <w:lang w:val="en-US" w:eastAsia="ja-JP"/>
              </w:rPr>
              <w:t>FFS</w:t>
            </w:r>
          </w:p>
        </w:tc>
        <w:tc>
          <w:tcPr>
            <w:tcW w:w="3870" w:type="dxa"/>
            <w:tcBorders>
              <w:top w:val="dotted" w:sz="4" w:space="0" w:color="auto"/>
              <w:left w:val="single" w:sz="8" w:space="0" w:color="auto"/>
              <w:bottom w:val="single" w:sz="8" w:space="0" w:color="auto"/>
              <w:right w:val="single" w:sz="8" w:space="0" w:color="auto"/>
            </w:tcBorders>
            <w:shd w:val="clear" w:color="DDEBF7" w:fill="DDEBF7"/>
            <w:vAlign w:val="center"/>
          </w:tcPr>
          <w:p w14:paraId="674BF8EC" w14:textId="3089D385" w:rsidR="007F52F9" w:rsidRPr="007F52F9" w:rsidRDefault="007F52F9" w:rsidP="00BE4DD1">
            <w:pPr>
              <w:spacing w:after="0"/>
              <w:jc w:val="both"/>
              <w:rPr>
                <w:color w:val="000000" w:themeColor="text1"/>
                <w:lang w:val="en-US"/>
              </w:rPr>
            </w:pPr>
            <w:r>
              <w:rPr>
                <w:color w:val="000000" w:themeColor="text1"/>
                <w:lang w:val="en-US"/>
              </w:rPr>
              <w:t>C</w:t>
            </w:r>
            <w:r w:rsidRPr="007F52F9">
              <w:rPr>
                <w:color w:val="000000" w:themeColor="text1"/>
                <w:lang w:val="en-US"/>
              </w:rPr>
              <w:t>ompanies are encourage to provide more analysis data on this aspect in the future meeting.</w:t>
            </w:r>
          </w:p>
        </w:tc>
      </w:tr>
    </w:tbl>
    <w:p w14:paraId="2C3BB329" w14:textId="36F94D40" w:rsidR="00361027" w:rsidRDefault="00361027" w:rsidP="00BE4DD1">
      <w:pPr>
        <w:pStyle w:val="10"/>
        <w:jc w:val="both"/>
        <w:rPr>
          <w:lang w:val="en-US"/>
        </w:rPr>
      </w:pPr>
      <w:r>
        <w:rPr>
          <w:lang w:val="en-US"/>
        </w:rPr>
        <w:t>Conclusions</w:t>
      </w:r>
    </w:p>
    <w:p w14:paraId="389FD6A2" w14:textId="6D3BE9F8" w:rsidR="00B25558" w:rsidRPr="00787DCB" w:rsidRDefault="00D771A4" w:rsidP="007F52F9">
      <w:pPr>
        <w:jc w:val="both"/>
        <w:rPr>
          <w:lang w:eastAsia="ja-JP"/>
        </w:rPr>
      </w:pPr>
      <w:r>
        <w:rPr>
          <w:lang w:val="en-US"/>
        </w:rPr>
        <w:t>In this paper, we</w:t>
      </w:r>
      <w:r w:rsidR="007F52F9">
        <w:rPr>
          <w:lang w:val="en-US"/>
        </w:rPr>
        <w:t xml:space="preserve"> summarized main simulation assumptions for the future meetings </w:t>
      </w:r>
      <w:bookmarkStart w:id="1" w:name="_GoBack"/>
      <w:bookmarkEnd w:id="1"/>
      <w:r w:rsidR="007F52F9">
        <w:rPr>
          <w:lang w:val="en-US"/>
        </w:rPr>
        <w:t>for co-existence study for WP 5D.</w:t>
      </w:r>
    </w:p>
    <w:p w14:paraId="0B2EF26A" w14:textId="77777777" w:rsidR="00A43791" w:rsidRDefault="00A43791" w:rsidP="00BE4DD1">
      <w:pPr>
        <w:pStyle w:val="10"/>
        <w:numPr>
          <w:ilvl w:val="0"/>
          <w:numId w:val="0"/>
        </w:numPr>
        <w:tabs>
          <w:tab w:val="num" w:pos="432"/>
        </w:tabs>
        <w:ind w:left="432" w:hanging="432"/>
        <w:jc w:val="both"/>
        <w:rPr>
          <w:lang w:val="en-US"/>
        </w:rPr>
      </w:pPr>
      <w:r>
        <w:rPr>
          <w:lang w:val="en-US"/>
        </w:rPr>
        <w:t>Reference</w:t>
      </w:r>
    </w:p>
    <w:p w14:paraId="280978B3" w14:textId="10085D4E" w:rsidR="00F54BE6" w:rsidRDefault="007F52F9" w:rsidP="007F52F9">
      <w:pPr>
        <w:numPr>
          <w:ilvl w:val="0"/>
          <w:numId w:val="2"/>
        </w:numPr>
        <w:tabs>
          <w:tab w:val="left" w:pos="1080"/>
        </w:tabs>
        <w:jc w:val="both"/>
        <w:rPr>
          <w:lang w:val="en-US"/>
        </w:rPr>
      </w:pPr>
      <w:bookmarkStart w:id="2" w:name="_Ref450558125"/>
      <w:bookmarkStart w:id="3" w:name="_Ref450557811"/>
      <w:bookmarkStart w:id="4" w:name="_Ref447207862"/>
      <w:bookmarkStart w:id="5" w:name="_Ref442191279"/>
      <w:bookmarkStart w:id="6" w:name="_Ref447031905"/>
      <w:bookmarkStart w:id="7" w:name="_Ref419388595"/>
      <w:bookmarkStart w:id="8" w:name="_Ref419289036"/>
      <w:r w:rsidRPr="007F52F9">
        <w:rPr>
          <w:lang w:val="en-US"/>
        </w:rPr>
        <w:t>R4-164541</w:t>
      </w:r>
      <w:r w:rsidR="00F54BE6">
        <w:rPr>
          <w:lang w:val="en-US"/>
        </w:rPr>
        <w:t>, “</w:t>
      </w:r>
      <w:r w:rsidRPr="007F52F9">
        <w:rPr>
          <w:lang w:val="en-US"/>
        </w:rPr>
        <w:t>Evening AH minutes for WP 5D co-existence simulation assumptions</w:t>
      </w:r>
      <w:r w:rsidR="00F54BE6">
        <w:rPr>
          <w:lang w:val="en-US"/>
        </w:rPr>
        <w:t xml:space="preserve">”, NTT </w:t>
      </w:r>
      <w:bookmarkEnd w:id="2"/>
      <w:r>
        <w:rPr>
          <w:lang w:val="en-US"/>
        </w:rPr>
        <w:t xml:space="preserve">DOCOMO, INC, </w:t>
      </w:r>
      <w:r w:rsidRPr="007F52F9">
        <w:rPr>
          <w:lang w:val="en-US"/>
        </w:rPr>
        <w:t>3GPP TSG-RAN WG4 #79, May 23rd – 27th, 2016, Nanjing, China</w:t>
      </w:r>
      <w:r w:rsidR="00787DCB">
        <w:rPr>
          <w:lang w:val="en-US"/>
        </w:rPr>
        <w:t>.</w:t>
      </w:r>
    </w:p>
    <w:bookmarkEnd w:id="3"/>
    <w:p w14:paraId="744809E4" w14:textId="5E73C498" w:rsidR="007F52F9" w:rsidRDefault="007F52F9" w:rsidP="007F52F9">
      <w:pPr>
        <w:numPr>
          <w:ilvl w:val="0"/>
          <w:numId w:val="2"/>
        </w:numPr>
        <w:tabs>
          <w:tab w:val="left" w:pos="1080"/>
        </w:tabs>
        <w:jc w:val="both"/>
        <w:rPr>
          <w:lang w:val="en-US"/>
        </w:rPr>
      </w:pPr>
      <w:r w:rsidRPr="007F52F9">
        <w:rPr>
          <w:lang w:val="en-US"/>
        </w:rPr>
        <w:t>R4-164543</w:t>
      </w:r>
      <w:r>
        <w:rPr>
          <w:lang w:val="en-US"/>
        </w:rPr>
        <w:t>, “</w:t>
      </w:r>
      <w:r w:rsidRPr="007F52F9">
        <w:rPr>
          <w:lang w:val="en-US"/>
        </w:rPr>
        <w:t>Evening AH minutes for NR AH for WP5D co-existence and PA models</w:t>
      </w:r>
      <w:r>
        <w:rPr>
          <w:lang w:val="en-US"/>
        </w:rPr>
        <w:t xml:space="preserve">”, NTT DOCOMO, INC, </w:t>
      </w:r>
      <w:r w:rsidRPr="007F52F9">
        <w:rPr>
          <w:lang w:val="en-US"/>
        </w:rPr>
        <w:t>3GPP TSG-RAN WG4 #79, May 23rd – 27th, 2016, Nanjing, China</w:t>
      </w:r>
      <w:r>
        <w:rPr>
          <w:lang w:val="en-US"/>
        </w:rPr>
        <w:t>.</w:t>
      </w:r>
    </w:p>
    <w:bookmarkEnd w:id="4"/>
    <w:bookmarkEnd w:id="5"/>
    <w:bookmarkEnd w:id="6"/>
    <w:bookmarkEnd w:id="7"/>
    <w:bookmarkEnd w:id="8"/>
    <w:p w14:paraId="53BBA148" w14:textId="5C639B42" w:rsidR="008D44F9" w:rsidRPr="00FF7978" w:rsidRDefault="008D44F9" w:rsidP="007F52F9">
      <w:pPr>
        <w:numPr>
          <w:ilvl w:val="0"/>
          <w:numId w:val="2"/>
        </w:numPr>
        <w:tabs>
          <w:tab w:val="left" w:pos="1080"/>
        </w:tabs>
        <w:jc w:val="both"/>
        <w:rPr>
          <w:lang w:val="en-US"/>
        </w:rPr>
      </w:pPr>
    </w:p>
    <w:sectPr w:rsidR="008D44F9" w:rsidRPr="00FF797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5EBEA" w14:textId="77777777" w:rsidR="00230A3D" w:rsidRDefault="00230A3D">
      <w:r>
        <w:separator/>
      </w:r>
    </w:p>
  </w:endnote>
  <w:endnote w:type="continuationSeparator" w:id="0">
    <w:p w14:paraId="4BCD317D" w14:textId="77777777" w:rsidR="00230A3D" w:rsidRDefault="0023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AE2A4B" w:rsidRDefault="00AE2A4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AE2A4B" w:rsidRDefault="00AE2A4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AE2A4B" w:rsidRDefault="00AE2A4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F52F9">
      <w:rPr>
        <w:rStyle w:val="afb"/>
      </w:rPr>
      <w:t>2</w:t>
    </w:r>
    <w:r>
      <w:rPr>
        <w:rStyle w:val="afb"/>
      </w:rPr>
      <w:fldChar w:fldCharType="end"/>
    </w:r>
  </w:p>
  <w:p w14:paraId="40DAC66D" w14:textId="77777777" w:rsidR="00AE2A4B" w:rsidRDefault="00AE2A4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FA4D0" w14:textId="77777777" w:rsidR="00230A3D" w:rsidRDefault="00230A3D">
      <w:r>
        <w:separator/>
      </w:r>
    </w:p>
  </w:footnote>
  <w:footnote w:type="continuationSeparator" w:id="0">
    <w:p w14:paraId="14FE4C57" w14:textId="77777777" w:rsidR="00230A3D" w:rsidRDefault="00230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3"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7"/>
  </w:num>
  <w:num w:numId="3">
    <w:abstractNumId w:val="30"/>
  </w:num>
  <w:num w:numId="4">
    <w:abstractNumId w:val="31"/>
  </w:num>
  <w:num w:numId="5">
    <w:abstractNumId w:val="25"/>
  </w:num>
  <w:num w:numId="6">
    <w:abstractNumId w:val="16"/>
  </w:num>
  <w:num w:numId="7">
    <w:abstractNumId w:val="6"/>
  </w:num>
  <w:num w:numId="8">
    <w:abstractNumId w:val="29"/>
  </w:num>
  <w:num w:numId="9">
    <w:abstractNumId w:val="17"/>
  </w:num>
  <w:num w:numId="10">
    <w:abstractNumId w:val="24"/>
  </w:num>
  <w:num w:numId="11">
    <w:abstractNumId w:val="32"/>
  </w:num>
  <w:num w:numId="12">
    <w:abstractNumId w:val="4"/>
  </w:num>
  <w:num w:numId="13">
    <w:abstractNumId w:val="11"/>
  </w:num>
  <w:num w:numId="14">
    <w:abstractNumId w:val="2"/>
  </w:num>
  <w:num w:numId="15">
    <w:abstractNumId w:val="9"/>
  </w:num>
  <w:num w:numId="16">
    <w:abstractNumId w:val="10"/>
  </w:num>
  <w:num w:numId="17">
    <w:abstractNumId w:val="0"/>
  </w:num>
  <w:num w:numId="18">
    <w:abstractNumId w:val="18"/>
  </w:num>
  <w:num w:numId="19">
    <w:abstractNumId w:val="23"/>
  </w:num>
  <w:num w:numId="20">
    <w:abstractNumId w:val="7"/>
  </w:num>
  <w:num w:numId="21">
    <w:abstractNumId w:val="3"/>
  </w:num>
  <w:num w:numId="22">
    <w:abstractNumId w:val="13"/>
  </w:num>
  <w:num w:numId="23">
    <w:abstractNumId w:val="26"/>
  </w:num>
  <w:num w:numId="24">
    <w:abstractNumId w:val="20"/>
  </w:num>
  <w:num w:numId="25">
    <w:abstractNumId w:val="28"/>
  </w:num>
  <w:num w:numId="26">
    <w:abstractNumId w:val="8"/>
  </w:num>
  <w:num w:numId="27">
    <w:abstractNumId w:val="19"/>
  </w:num>
  <w:num w:numId="28">
    <w:abstractNumId w:val="22"/>
  </w:num>
  <w:num w:numId="29">
    <w:abstractNumId w:val="12"/>
  </w:num>
  <w:num w:numId="30">
    <w:abstractNumId w:val="15"/>
  </w:num>
  <w:num w:numId="31">
    <w:abstractNumId w:val="21"/>
  </w:num>
  <w:num w:numId="32">
    <w:abstractNumId w:val="5"/>
  </w:num>
  <w:num w:numId="33">
    <w:abstractNumId w:val="14"/>
  </w:num>
  <w:num w:numId="34">
    <w:abstractNumId w:val="1"/>
  </w:num>
  <w:num w:numId="3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A3D"/>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1848"/>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1EC0"/>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2F9"/>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16F2"/>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C93DD5DE-C48B-4DC0-847A-1A563756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517</Words>
  <Characters>2949</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hiromasa</cp:lastModifiedBy>
  <cp:revision>2</cp:revision>
  <cp:lastPrinted>2016-05-10T16:30:00Z</cp:lastPrinted>
  <dcterms:created xsi:type="dcterms:W3CDTF">2016-05-26T22:30:00Z</dcterms:created>
  <dcterms:modified xsi:type="dcterms:W3CDTF">2016-05-26T22:30:00Z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